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D1" w:rsidRDefault="008009D1" w:rsidP="008009D1">
      <w:pPr>
        <w:pStyle w:val="FrontPageTitle"/>
      </w:pPr>
    </w:p>
    <w:p w:rsidR="008009D1" w:rsidRDefault="008009D1" w:rsidP="008009D1">
      <w:pPr>
        <w:pStyle w:val="FrontPageTitle"/>
      </w:pPr>
    </w:p>
    <w:p w:rsidR="008009D1" w:rsidRPr="00EB3A24" w:rsidRDefault="008009D1" w:rsidP="008009D1">
      <w:pPr>
        <w:pStyle w:val="FrontPageTitle"/>
      </w:pPr>
      <w:r w:rsidRPr="00EB3A24">
        <w:t xml:space="preserve">SCOTTISH CAPITAL </w:t>
      </w:r>
    </w:p>
    <w:p w:rsidR="008009D1" w:rsidRDefault="008009D1" w:rsidP="008009D1">
      <w:pPr>
        <w:pStyle w:val="FrontPageTitle"/>
      </w:pPr>
      <w:r w:rsidRPr="00EB3A24">
        <w:t>INVESTMENT MANUAL</w:t>
      </w:r>
    </w:p>
    <w:p w:rsidR="008009D1" w:rsidRDefault="008009D1" w:rsidP="008009D1">
      <w:pPr>
        <w:pStyle w:val="FrontPageTitle"/>
      </w:pPr>
    </w:p>
    <w:p w:rsidR="008009D1" w:rsidRDefault="00C97972" w:rsidP="008009D1">
      <w:pPr>
        <w:pStyle w:val="FrontPageTitle"/>
      </w:pPr>
      <w:r>
        <w:t>Full Business Case</w:t>
      </w:r>
    </w:p>
    <w:p w:rsidR="00E078DC" w:rsidRDefault="00E078DC" w:rsidP="00E078DC">
      <w:pPr>
        <w:pStyle w:val="FrontPageTitle"/>
        <w:numPr>
          <w:ilvl w:val="0"/>
          <w:numId w:val="18"/>
        </w:numPr>
      </w:pPr>
      <w:r>
        <w:t>summary of stages</w:t>
      </w:r>
    </w:p>
    <w:p w:rsidR="00117B42" w:rsidRPr="00117B42" w:rsidRDefault="00117B42" w:rsidP="008009D1">
      <w:pPr>
        <w:pStyle w:val="FrontPageTitle"/>
        <w:rPr>
          <w:sz w:val="28"/>
          <w:szCs w:val="28"/>
        </w:rPr>
      </w:pPr>
    </w:p>
    <w:p w:rsidR="00801371" w:rsidRDefault="00801371" w:rsidP="002D22F1">
      <w:pPr>
        <w:pStyle w:val="FrontPageTitle"/>
        <w:jc w:val="center"/>
        <w:rPr>
          <w:color w:val="FF0000"/>
        </w:rPr>
      </w:pPr>
    </w:p>
    <w:p w:rsidR="00801371" w:rsidRDefault="00801371" w:rsidP="002D22F1">
      <w:pPr>
        <w:pStyle w:val="FrontPageTitle"/>
        <w:jc w:val="center"/>
        <w:rPr>
          <w:color w:val="FF0000"/>
        </w:rPr>
      </w:pPr>
    </w:p>
    <w:p w:rsidR="002D22F1" w:rsidRPr="002D22F1" w:rsidRDefault="002D22F1" w:rsidP="002D22F1">
      <w:pPr>
        <w:pStyle w:val="FrontPageTitle"/>
        <w:jc w:val="center"/>
        <w:rPr>
          <w:color w:val="FF0000"/>
        </w:rPr>
      </w:pPr>
    </w:p>
    <w:p w:rsidR="008009D1" w:rsidRDefault="008009D1" w:rsidP="008009D1">
      <w:pPr>
        <w:pStyle w:val="Headings3"/>
        <w:sectPr w:rsidR="008009D1" w:rsidSect="008C2D9B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13DF9" w:rsidRDefault="00E078DC" w:rsidP="00E078DC">
      <w:pPr>
        <w:pStyle w:val="Heading1"/>
        <w:numPr>
          <w:ilvl w:val="0"/>
          <w:numId w:val="0"/>
        </w:numPr>
      </w:pPr>
      <w:r>
        <w:lastRenderedPageBreak/>
        <w:t>Executive Summary</w:t>
      </w:r>
    </w:p>
    <w:p w:rsidR="00E078DC" w:rsidRPr="00E078DC" w:rsidRDefault="00E078DC" w:rsidP="00E078DC">
      <w:pPr>
        <w:pStyle w:val="Standardbullet"/>
      </w:pPr>
      <w:r>
        <w:t xml:space="preserve">Confirmation of </w:t>
      </w:r>
      <w:r w:rsidR="00377543">
        <w:t xml:space="preserve">the </w:t>
      </w:r>
      <w:r>
        <w:t>project scope, affordability, and that appropriate contractual, commercial, and management arrangements are in place</w:t>
      </w:r>
      <w:r w:rsidR="00377543">
        <w:t>.</w:t>
      </w:r>
    </w:p>
    <w:p w:rsidR="008009D1" w:rsidRDefault="00975090" w:rsidP="00A21206">
      <w:pPr>
        <w:pStyle w:val="Heading1"/>
      </w:pPr>
      <w:r>
        <w:t>Strategic Case</w:t>
      </w:r>
    </w:p>
    <w:p w:rsidR="00E078DC" w:rsidRDefault="00E078DC" w:rsidP="00E078DC">
      <w:pPr>
        <w:pStyle w:val="Standardbullet"/>
        <w:ind w:left="714" w:hanging="357"/>
      </w:pPr>
      <w:r>
        <w:t>Provide summary of Strategic Case from OBC, including any updates</w:t>
      </w:r>
      <w:r w:rsidR="004F52E6">
        <w:t xml:space="preserve"> (note, any material changes that could have altered the outcome of the OBC should be reviewed with Scottish Government before proceeding further)</w:t>
      </w:r>
      <w:r>
        <w:t>.</w:t>
      </w:r>
    </w:p>
    <w:p w:rsidR="00975090" w:rsidRDefault="00975090" w:rsidP="00975090">
      <w:pPr>
        <w:pStyle w:val="Heading1"/>
      </w:pPr>
      <w:r>
        <w:t>Economic Case</w:t>
      </w:r>
    </w:p>
    <w:p w:rsidR="004F52E6" w:rsidRDefault="004F52E6" w:rsidP="004F52E6">
      <w:pPr>
        <w:pStyle w:val="Standardbullet"/>
      </w:pPr>
      <w:r>
        <w:t>Confirm whether any new information has come to light which might impact on the economic appraisal carried out at OBC stage.</w:t>
      </w:r>
    </w:p>
    <w:p w:rsidR="004F52E6" w:rsidRDefault="004F52E6" w:rsidP="00975090">
      <w:pPr>
        <w:pStyle w:val="Standardbullet"/>
      </w:pPr>
      <w:r>
        <w:t>Then either re-visit the economic appraisal and the robustness of the preferred option, or, explain how after reasonable consideration of this the preferred option remains valid.</w:t>
      </w:r>
    </w:p>
    <w:p w:rsidR="00975090" w:rsidRDefault="00975090" w:rsidP="00975090">
      <w:pPr>
        <w:pStyle w:val="Heading1"/>
      </w:pPr>
      <w:r>
        <w:t>Commercial Case</w:t>
      </w:r>
    </w:p>
    <w:p w:rsidR="00533966" w:rsidRDefault="00DD48B0" w:rsidP="00C74183">
      <w:pPr>
        <w:pStyle w:val="Standardbullet"/>
      </w:pPr>
      <w:r>
        <w:t>Set out, or summarise and refer to separate reports, the selection process for the recommended commercial offer(s) / suppliers</w:t>
      </w:r>
      <w:r w:rsidR="00C74183">
        <w:t xml:space="preserve"> i.e. the tender report</w:t>
      </w:r>
      <w:r>
        <w:t xml:space="preserve">.  </w:t>
      </w:r>
    </w:p>
    <w:p w:rsidR="00C74183" w:rsidRDefault="00C74183" w:rsidP="00DD48B0">
      <w:pPr>
        <w:pStyle w:val="Standardbullet"/>
        <w:rPr>
          <w:rFonts w:eastAsiaTheme="majorEastAsia"/>
        </w:rPr>
      </w:pPr>
      <w:r>
        <w:rPr>
          <w:rFonts w:eastAsiaTheme="majorEastAsia"/>
        </w:rPr>
        <w:t xml:space="preserve">For a building related project, set out the NDAP assessment observations, the Board’s compliance / response to the advisory and essential recommendations, and </w:t>
      </w:r>
      <w:r w:rsidR="00CD0221">
        <w:rPr>
          <w:rFonts w:eastAsiaTheme="majorEastAsia"/>
        </w:rPr>
        <w:t>confirm project information compliance with NDAP &amp; BIM expectations.</w:t>
      </w:r>
    </w:p>
    <w:p w:rsidR="00AD04B0" w:rsidRPr="00CD0221" w:rsidRDefault="00CD0221" w:rsidP="00CD0221">
      <w:pPr>
        <w:pStyle w:val="Standardbullet"/>
      </w:pPr>
      <w:r w:rsidRPr="00CD0221">
        <w:rPr>
          <w:rFonts w:eastAsiaTheme="majorEastAsia"/>
        </w:rPr>
        <w:t xml:space="preserve">For non-building related elements / services, set out how the assessment of the </w:t>
      </w:r>
      <w:r w:rsidR="00C74183" w:rsidRPr="00CD0221">
        <w:t xml:space="preserve">suitability </w:t>
      </w:r>
      <w:r w:rsidR="00AD04B0" w:rsidRPr="00CD0221">
        <w:t>of the procured offer(s) was carried out</w:t>
      </w:r>
      <w:r w:rsidRPr="00CD0221">
        <w:t xml:space="preserve"> and outline </w:t>
      </w:r>
      <w:r>
        <w:t>a</w:t>
      </w:r>
      <w:r w:rsidR="00AD04B0" w:rsidRPr="00CD0221">
        <w:t xml:space="preserve">ny observations or recommendations related to the appropriateness of the services or works being offered. </w:t>
      </w:r>
    </w:p>
    <w:p w:rsidR="00F930C7" w:rsidRDefault="00CD0221" w:rsidP="00DD48B0">
      <w:pPr>
        <w:pStyle w:val="Standardbullet"/>
        <w:rPr>
          <w:rFonts w:eastAsiaTheme="majorEastAsia"/>
        </w:rPr>
      </w:pPr>
      <w:r>
        <w:rPr>
          <w:rFonts w:eastAsiaTheme="majorEastAsia"/>
        </w:rPr>
        <w:t>Outline the main contractual arrangements of the recommended offer, covering:</w:t>
      </w:r>
    </w:p>
    <w:p w:rsidR="00000CF8" w:rsidRDefault="00000CF8" w:rsidP="00CD0221">
      <w:pPr>
        <w:pStyle w:val="Standardbullet"/>
        <w:numPr>
          <w:ilvl w:val="1"/>
          <w:numId w:val="11"/>
        </w:numPr>
      </w:pPr>
      <w:r>
        <w:t>Confirmation of the standard form of contract being used.</w:t>
      </w:r>
    </w:p>
    <w:p w:rsidR="00000CF8" w:rsidRDefault="00000CF8" w:rsidP="00CD0221">
      <w:pPr>
        <w:pStyle w:val="Standardbullet"/>
        <w:numPr>
          <w:ilvl w:val="1"/>
          <w:numId w:val="11"/>
        </w:numPr>
      </w:pPr>
      <w:r>
        <w:lastRenderedPageBreak/>
        <w:t>Key contractual issues, covering similar items included within the OBC.</w:t>
      </w:r>
    </w:p>
    <w:p w:rsidR="00000CF8" w:rsidRDefault="00000CF8" w:rsidP="00CD0221">
      <w:pPr>
        <w:pStyle w:val="Standardbullet"/>
        <w:numPr>
          <w:ilvl w:val="1"/>
          <w:numId w:val="11"/>
        </w:numPr>
      </w:pPr>
      <w:r>
        <w:t>Any contractually based personnel implications</w:t>
      </w:r>
      <w:r w:rsidR="00377543">
        <w:t>.</w:t>
      </w:r>
    </w:p>
    <w:p w:rsidR="00000CF8" w:rsidRDefault="00000CF8" w:rsidP="00CD0221">
      <w:pPr>
        <w:pStyle w:val="Standardbullet"/>
        <w:numPr>
          <w:ilvl w:val="1"/>
          <w:numId w:val="11"/>
        </w:numPr>
      </w:pPr>
      <w:r>
        <w:t>Details of how any payment structure will function.</w:t>
      </w:r>
    </w:p>
    <w:p w:rsidR="00000CF8" w:rsidRDefault="00000CF8" w:rsidP="00CD0221">
      <w:pPr>
        <w:pStyle w:val="Standardbullet"/>
        <w:numPr>
          <w:ilvl w:val="1"/>
          <w:numId w:val="11"/>
        </w:numPr>
      </w:pPr>
      <w:r>
        <w:t xml:space="preserve">An update of the project risk allocation table. </w:t>
      </w:r>
    </w:p>
    <w:p w:rsidR="00C45C7F" w:rsidRPr="00D0670F" w:rsidRDefault="00C45C7F" w:rsidP="00C45C7F">
      <w:pPr>
        <w:pStyle w:val="Heading1"/>
      </w:pPr>
      <w:r>
        <w:t>Financial Case</w:t>
      </w:r>
    </w:p>
    <w:p w:rsidR="00CD0221" w:rsidRDefault="00CD0221" w:rsidP="00CD0221">
      <w:pPr>
        <w:pStyle w:val="Standardbullet"/>
      </w:pPr>
      <w:r>
        <w:t>Set out the full financial implications for the project, including the project’s overall funding and affordability arrangements.</w:t>
      </w:r>
    </w:p>
    <w:p w:rsidR="00CD0221" w:rsidRDefault="00377543" w:rsidP="00CD0221">
      <w:pPr>
        <w:pStyle w:val="Standardbullet"/>
      </w:pPr>
      <w:r>
        <w:t>Written confirmation from all stakeholders of their</w:t>
      </w:r>
      <w:r w:rsidR="00CD0221">
        <w:t xml:space="preserve"> specific and explicit commitment to the project following suitable involvement in the project’s development and an understanding of </w:t>
      </w:r>
      <w:r>
        <w:t xml:space="preserve">the impact of </w:t>
      </w:r>
      <w:r w:rsidR="00CD0221">
        <w:t xml:space="preserve">its financial and commercial arrangements. </w:t>
      </w:r>
    </w:p>
    <w:p w:rsidR="00C97972" w:rsidRDefault="00C97972" w:rsidP="00C97972">
      <w:pPr>
        <w:pStyle w:val="Heading1"/>
      </w:pPr>
      <w:r>
        <w:t>Management Case</w:t>
      </w:r>
    </w:p>
    <w:p w:rsidR="00377543" w:rsidRDefault="00377543" w:rsidP="00377543">
      <w:pPr>
        <w:pStyle w:val="Standardbullet"/>
      </w:pPr>
      <w:r>
        <w:t>Confirmation (with details) that the following management arrangements are in place</w:t>
      </w:r>
      <w:r w:rsidRPr="00377543">
        <w:t xml:space="preserve"> </w:t>
      </w:r>
      <w:r>
        <w:t>to ensure the project’s successful implementation:</w:t>
      </w:r>
    </w:p>
    <w:p w:rsidR="003366C4" w:rsidRDefault="0015397F" w:rsidP="00377543">
      <w:pPr>
        <w:pStyle w:val="Standardbullet"/>
        <w:numPr>
          <w:ilvl w:val="1"/>
          <w:numId w:val="11"/>
        </w:numPr>
      </w:pPr>
      <w:r>
        <w:t>P</w:t>
      </w:r>
      <w:r w:rsidR="003366C4">
        <w:t>roject management arrangements</w:t>
      </w:r>
      <w:r w:rsidR="00377543">
        <w:t>.</w:t>
      </w:r>
      <w:r w:rsidR="003366C4">
        <w:t xml:space="preserve"> </w:t>
      </w:r>
    </w:p>
    <w:p w:rsidR="00377543" w:rsidRDefault="00377543" w:rsidP="00377543">
      <w:pPr>
        <w:pStyle w:val="Standardbullet"/>
        <w:numPr>
          <w:ilvl w:val="1"/>
          <w:numId w:val="11"/>
        </w:numPr>
      </w:pPr>
      <w:r>
        <w:t xml:space="preserve">Organisational, service, and facilities </w:t>
      </w:r>
      <w:r w:rsidR="0023167A">
        <w:t>c</w:t>
      </w:r>
      <w:r w:rsidR="00FD7845">
        <w:t>hange management arrangements</w:t>
      </w:r>
      <w:r>
        <w:t>, including details of the management of impact on existing service delivery</w:t>
      </w:r>
      <w:r w:rsidR="009F0F4B">
        <w:t xml:space="preserve"> during implementation</w:t>
      </w:r>
      <w:r>
        <w:t>.</w:t>
      </w:r>
    </w:p>
    <w:p w:rsidR="00377543" w:rsidRDefault="0015397F" w:rsidP="00377543">
      <w:pPr>
        <w:pStyle w:val="Standardbullet"/>
        <w:numPr>
          <w:ilvl w:val="1"/>
          <w:numId w:val="11"/>
        </w:numPr>
      </w:pPr>
      <w:r>
        <w:t xml:space="preserve">A comprehensive </w:t>
      </w:r>
      <w:r w:rsidR="00FD7845">
        <w:t>benefits realisation plan</w:t>
      </w:r>
      <w:r w:rsidR="00377543">
        <w:t>.</w:t>
      </w:r>
    </w:p>
    <w:p w:rsidR="00377543" w:rsidRDefault="00FD7845" w:rsidP="00377543">
      <w:pPr>
        <w:pStyle w:val="Standardbullet"/>
        <w:numPr>
          <w:ilvl w:val="1"/>
          <w:numId w:val="11"/>
        </w:numPr>
      </w:pPr>
      <w:r>
        <w:t xml:space="preserve"> </w:t>
      </w:r>
      <w:r w:rsidR="0015397F">
        <w:t xml:space="preserve">A comprehensive and up to date </w:t>
      </w:r>
      <w:r w:rsidR="00A20536">
        <w:t>project risk register</w:t>
      </w:r>
      <w:r w:rsidR="00377543">
        <w:t>.</w:t>
      </w:r>
    </w:p>
    <w:p w:rsidR="00A20536" w:rsidRDefault="0015397F" w:rsidP="00377543">
      <w:pPr>
        <w:pStyle w:val="Standardbullet"/>
        <w:numPr>
          <w:ilvl w:val="1"/>
          <w:numId w:val="11"/>
        </w:numPr>
      </w:pPr>
      <w:r>
        <w:t xml:space="preserve">A </w:t>
      </w:r>
      <w:r w:rsidR="00A20536">
        <w:rPr>
          <w:rStyle w:val="Emphasis"/>
          <w:i w:val="0"/>
          <w:iCs w:val="0"/>
        </w:rPr>
        <w:t>Commissioning Master Plan</w:t>
      </w:r>
      <w:r>
        <w:t>.</w:t>
      </w:r>
    </w:p>
    <w:p w:rsidR="00377543" w:rsidRDefault="0015397F" w:rsidP="00377543">
      <w:pPr>
        <w:pStyle w:val="Standardbullet"/>
        <w:numPr>
          <w:ilvl w:val="1"/>
          <w:numId w:val="11"/>
        </w:numPr>
      </w:pPr>
      <w:r>
        <w:t xml:space="preserve">A </w:t>
      </w:r>
      <w:r w:rsidR="00645390">
        <w:t>Full Project Monitoring and Service Benefits Evaluation plan</w:t>
      </w:r>
      <w:r w:rsidR="00377543">
        <w:t>.</w:t>
      </w:r>
    </w:p>
    <w:p w:rsidR="00A20536" w:rsidRDefault="00377543" w:rsidP="00377543">
      <w:pPr>
        <w:pStyle w:val="Standardbullet"/>
        <w:numPr>
          <w:ilvl w:val="1"/>
          <w:numId w:val="11"/>
        </w:numPr>
      </w:pPr>
      <w:r>
        <w:t>A Project Monitoring Report.</w:t>
      </w:r>
    </w:p>
    <w:p w:rsidR="00377543" w:rsidRDefault="009F0F4B" w:rsidP="00377543">
      <w:pPr>
        <w:pStyle w:val="Standardparagraph0"/>
      </w:pPr>
      <w:r>
        <w:t>Note</w:t>
      </w:r>
      <w:proofErr w:type="gramStart"/>
      <w:r w:rsidR="00377543">
        <w:t>,</w:t>
      </w:r>
      <w:proofErr w:type="gramEnd"/>
      <w:r w:rsidR="00377543">
        <w:t xml:space="preserve"> an FBC addendum will need to be submitted if, for any reason, there are key movements in any material information about the project between FBC approval and contract signature.</w:t>
      </w:r>
    </w:p>
    <w:sectPr w:rsidR="00377543" w:rsidSect="00503FFA">
      <w:headerReference w:type="default" r:id="rId9"/>
      <w:footerReference w:type="default" r:id="rId10"/>
      <w:pgSz w:w="11906" w:h="16838"/>
      <w:pgMar w:top="1588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43" w:rsidRDefault="00377543" w:rsidP="008009D1">
      <w:pPr>
        <w:spacing w:line="240" w:lineRule="auto"/>
      </w:pPr>
      <w:r>
        <w:separator/>
      </w:r>
    </w:p>
  </w:endnote>
  <w:endnote w:type="continuationSeparator" w:id="0">
    <w:p w:rsidR="00377543" w:rsidRDefault="00377543" w:rsidP="00800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43" w:rsidRPr="00FF2E3A" w:rsidRDefault="00377543">
    <w:pPr>
      <w:pStyle w:val="Footer"/>
      <w:rPr>
        <w:sz w:val="20"/>
      </w:rPr>
    </w:pPr>
    <w:r>
      <w:tab/>
    </w:r>
    <w:r>
      <w:tab/>
    </w:r>
    <w:r w:rsidRPr="00FF2E3A">
      <w:rPr>
        <w:sz w:val="20"/>
      </w:rPr>
      <w:t>Latest drafting: 31/01/2017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43" w:rsidRPr="00EB3A24" w:rsidRDefault="00377543" w:rsidP="003B79E6">
    <w:pPr>
      <w:pStyle w:val="Footer"/>
      <w:pBdr>
        <w:top w:val="single" w:sz="4" w:space="1" w:color="auto"/>
      </w:pBdr>
      <w:jc w:val="left"/>
      <w:rPr>
        <w:rFonts w:cs="Arial"/>
        <w:sz w:val="20"/>
      </w:rPr>
    </w:pPr>
    <w:r>
      <w:rPr>
        <w:sz w:val="20"/>
      </w:rPr>
      <w:t>FBC – summary of stages</w:t>
    </w:r>
    <w:r>
      <w:rPr>
        <w:sz w:val="20"/>
      </w:rPr>
      <w:tab/>
    </w:r>
    <w:r w:rsidRPr="003B79E6">
      <w:rPr>
        <w:rFonts w:cs="Arial"/>
        <w:sz w:val="20"/>
      </w:rPr>
      <w:t xml:space="preserve"> </w:t>
    </w:r>
    <w:r>
      <w:rPr>
        <w:rFonts w:cs="Arial"/>
        <w:sz w:val="20"/>
      </w:rPr>
      <w:tab/>
      <w:t xml:space="preserve">Page </w:t>
    </w:r>
    <w:r w:rsidR="007E16C2" w:rsidRPr="00B45860">
      <w:rPr>
        <w:rFonts w:cs="Arial"/>
        <w:sz w:val="20"/>
      </w:rPr>
      <w:fldChar w:fldCharType="begin"/>
    </w:r>
    <w:r w:rsidRPr="00B45860">
      <w:rPr>
        <w:rFonts w:cs="Arial"/>
        <w:sz w:val="20"/>
      </w:rPr>
      <w:instrText xml:space="preserve"> PAGE   \* MERGEFORMAT </w:instrText>
    </w:r>
    <w:r w:rsidR="007E16C2" w:rsidRPr="00B45860">
      <w:rPr>
        <w:rFonts w:cs="Arial"/>
        <w:sz w:val="20"/>
      </w:rPr>
      <w:fldChar w:fldCharType="separate"/>
    </w:r>
    <w:r w:rsidR="00FF2E3A">
      <w:rPr>
        <w:rFonts w:cs="Arial"/>
        <w:noProof/>
        <w:sz w:val="20"/>
      </w:rPr>
      <w:t>2</w:t>
    </w:r>
    <w:r w:rsidR="007E16C2" w:rsidRPr="00B45860">
      <w:rPr>
        <w:rFonts w:cs="Arial"/>
        <w:sz w:val="20"/>
      </w:rPr>
      <w:fldChar w:fldCharType="end"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  <w:t>Appendix C</w:t>
    </w:r>
  </w:p>
  <w:p w:rsidR="00377543" w:rsidRDefault="00377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43" w:rsidRDefault="00377543" w:rsidP="008009D1">
      <w:pPr>
        <w:spacing w:line="240" w:lineRule="auto"/>
      </w:pPr>
      <w:r>
        <w:separator/>
      </w:r>
    </w:p>
  </w:footnote>
  <w:footnote w:type="continuationSeparator" w:id="0">
    <w:p w:rsidR="00377543" w:rsidRDefault="00377543" w:rsidP="008009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543" w:rsidRDefault="007E16C2">
    <w:pPr>
      <w:pStyle w:val="Header"/>
    </w:pPr>
    <w:r>
      <w:rPr>
        <w:noProof/>
        <w:lang w:eastAsia="en-GB"/>
      </w:rPr>
      <w:pict>
        <v:group id="_x0000_s39979" style="position:absolute;left:0;text-align:left;margin-left:-18.7pt;margin-top:-8pt;width:505.1pt;height:42.25pt;z-index:251658240" coordorigin="1063,548" coordsize="10102,845">
          <v:rect id="_x0000_s39980" style="position:absolute;left:1063;top:548;width:964;height:649;v-text-anchor:middle">
            <v:textbox style="mso-next-textbox:#_x0000_s39980">
              <w:txbxContent>
                <w:p w:rsidR="00377543" w:rsidRPr="006A3417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6A3417">
                    <w:rPr>
                      <w:rFonts w:asciiTheme="minorHAnsi" w:hAnsiTheme="minorHAnsi" w:cs="Arial"/>
                      <w:sz w:val="12"/>
                      <w:szCs w:val="12"/>
                    </w:rPr>
                    <w:t>Service Planning</w:t>
                  </w:r>
                </w:p>
              </w:txbxContent>
            </v:textbox>
          </v:rect>
          <v:rect id="_x0000_s39981" style="position:absolute;left:2240;top:548;width:964;height:649;v-text-anchor:middle">
            <v:textbox style="mso-next-textbox:#_x0000_s39981">
              <w:txbxContent>
                <w:p w:rsidR="00377543" w:rsidRPr="003F3E6B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LDP</w:t>
                  </w:r>
                </w:p>
              </w:txbxContent>
            </v:textbox>
          </v:rect>
          <v:rect id="_x0000_s39982" style="position:absolute;left:3427;top:548;width:964;height:649;v-text-anchor:middle">
            <v:textbox style="mso-next-textbox:#_x0000_s39982">
              <w:txbxContent>
                <w:p w:rsidR="00377543" w:rsidRPr="003F3E6B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PAMS</w:t>
                  </w:r>
                </w:p>
              </w:txbxContent>
            </v:textbox>
          </v:rect>
          <v:rect id="_x0000_s39983" style="position:absolute;left:4593;top:551;width:964;height:646;mso-position-vertical:absolute;v-text-anchor:middle" filled="f" fillcolor="#e36c0a [2409]">
            <v:textbox style="mso-next-textbox:#_x0000_s39983">
              <w:txbxContent>
                <w:p w:rsidR="00377543" w:rsidRPr="003F3E6B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Strategic Assessment</w:t>
                  </w:r>
                </w:p>
              </w:txbxContent>
            </v:textbox>
          </v:rect>
          <v:rect id="_x0000_s39984" style="position:absolute;left:5773;top:551;width:964;height:646;mso-position-horizontal:absolute;mso-position-vertical:absolute;v-text-anchor:middle" filled="f" fillcolor="#c00000">
            <v:textbox style="mso-next-textbox:#_x0000_s39984">
              <w:txbxContent>
                <w:p w:rsidR="00377543" w:rsidRPr="00AF208A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AF208A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Initial Agreement</w:t>
                  </w:r>
                </w:p>
              </w:txbxContent>
            </v:textbox>
          </v:rect>
          <v:rect id="_x0000_s39985" style="position:absolute;left:6940;top:551;width:964;height:646;mso-position-vertical:absolute;v-text-anchor:middle" filled="f" fillcolor="#31849b [2408]">
            <v:textbox style="mso-next-textbox:#_x0000_s39985">
              <w:txbxContent>
                <w:p w:rsidR="00377543" w:rsidRPr="008E61A7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8E61A7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OBC</w:t>
                  </w: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9986" type="#_x0000_t32" style="position:absolute;left:2020;top:908;width:220;height:0" o:connectortype="straight"/>
          <v:shape id="_x0000_s39987" type="#_x0000_t32" style="position:absolute;left:3207;top:908;width:220;height:0" o:connectortype="straight"/>
          <v:shape id="_x0000_s39988" type="#_x0000_t32" style="position:absolute;left:4391;top:906;width:202;height:3" o:connectortype="straight"/>
          <v:shape id="_x0000_s39989" type="#_x0000_t32" style="position:absolute;left:5553;top:908;width:220;height:0" o:connectortype="straight"/>
          <v:shape id="_x0000_s39990" type="#_x0000_t32" style="position:absolute;left:6733;top:908;width:207;height:1" o:connectortype="straight"/>
          <v:shape id="_x0000_s39991" type="#_x0000_t32" style="position:absolute;left:7903;top:908;width:220;height:0" o:connectortype="straight"/>
          <v:rect id="_x0000_s39992" style="position:absolute;left:10485;top:551;width:680;height:646;mso-position-vertical:absolute;v-text-anchor:middle" filled="f" fillcolor="#1f497d [3215]">
            <v:textbox style="mso-next-textbox:#_x0000_s39992">
              <w:txbxContent>
                <w:p w:rsidR="00377543" w:rsidRPr="003F3E6B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PME</w:t>
                  </w:r>
                </w:p>
              </w:txbxContent>
            </v:textbox>
          </v:rect>
          <v:rect id="_x0000_s39993" style="position:absolute;left:8123;top:551;width:964;height:646;mso-position-vertical:absolute;v-text-anchor:middle" fillcolor="#5f497a [2407]">
            <v:textbox style="mso-next-textbox:#_x0000_s39993" inset=",0,,0">
              <w:txbxContent>
                <w:p w:rsidR="00377543" w:rsidRPr="00503FFA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503FFA">
                    <w:rPr>
                      <w:rFonts w:asciiTheme="minorHAnsi" w:hAnsiTheme="minorHAnsi" w:cs="Arial"/>
                      <w:b/>
                      <w:color w:val="FFFFFF" w:themeColor="background1"/>
                      <w:sz w:val="16"/>
                      <w:szCs w:val="16"/>
                    </w:rPr>
                    <w:t>FBC</w:t>
                  </w:r>
                </w:p>
              </w:txbxContent>
            </v:textbox>
          </v:rect>
          <v:shape id="_x0000_s39994" type="#_x0000_t32" style="position:absolute;left:1706;top:1382;width:8869;height:11;flip:y" o:connectortype="straight"/>
          <v:shape id="_x0000_s39995" type="#_x0000_t32" style="position:absolute;left:9083;top:908;width:220;height:0" o:connectortype="straight"/>
          <v:rect id="_x0000_s39996" style="position:absolute;left:9303;top:551;width:964;height:646;mso-position-vertical:absolute;v-text-anchor:middle" filled="f" fillcolor="white [3212]">
            <v:textbox style="mso-next-textbox:#_x0000_s39996" inset="0,0,0,0">
              <w:txbxContent>
                <w:p w:rsidR="00377543" w:rsidRPr="003F3E6B" w:rsidRDefault="00377543" w:rsidP="008E61A7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Construction &amp; Commissioning</w:t>
                  </w:r>
                </w:p>
              </w:txbxContent>
            </v:textbox>
          </v:rect>
          <v:shape id="_x0000_s39997" type="#_x0000_t32" style="position:absolute;left:10263;top:908;width:220;height:0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39998" type="#_x0000_t19" style="position:absolute;left:1502;top:1212;width:170;height:170;rotation:180">
            <v:stroke endarrow="block" endarrowwidth="wide"/>
          </v:shape>
          <v:shape id="_x0000_s39999" type="#_x0000_t19" style="position:absolute;left:10612;top:1209;width:170;height:170;rotation:90">
            <v:stroke endarrow="block" endarrowwidth="wide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B54"/>
    <w:multiLevelType w:val="multilevel"/>
    <w:tmpl w:val="BED461EE"/>
    <w:lvl w:ilvl="0">
      <w:start w:val="1"/>
      <w:numFmt w:val="bullet"/>
      <w:pStyle w:val="Standar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4D7C"/>
    <w:multiLevelType w:val="hybridMultilevel"/>
    <w:tmpl w:val="FDC07A54"/>
    <w:lvl w:ilvl="0" w:tplc="71483F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20594"/>
    <w:multiLevelType w:val="hybridMultilevel"/>
    <w:tmpl w:val="70DE62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E7FCC"/>
    <w:multiLevelType w:val="hybridMultilevel"/>
    <w:tmpl w:val="09A8B2BE"/>
    <w:lvl w:ilvl="0" w:tplc="D44C1F62">
      <w:start w:val="1"/>
      <w:numFmt w:val="bullet"/>
      <w:pStyle w:val="Bullet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528CB"/>
    <w:multiLevelType w:val="hybridMultilevel"/>
    <w:tmpl w:val="7C52FAC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26769"/>
    <w:multiLevelType w:val="hybridMultilevel"/>
    <w:tmpl w:val="DA9A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12C68"/>
    <w:multiLevelType w:val="hybridMultilevel"/>
    <w:tmpl w:val="932C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C1F8D"/>
    <w:multiLevelType w:val="hybridMultilevel"/>
    <w:tmpl w:val="1EE80706"/>
    <w:lvl w:ilvl="0" w:tplc="C1266F02">
      <w:start w:val="1"/>
      <w:numFmt w:val="bullet"/>
      <w:pStyle w:val="ListParagraph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35720507"/>
    <w:multiLevelType w:val="multilevel"/>
    <w:tmpl w:val="17E4E2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38303CF1"/>
    <w:multiLevelType w:val="hybridMultilevel"/>
    <w:tmpl w:val="41DE4FF0"/>
    <w:lvl w:ilvl="0" w:tplc="95F0A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108D2"/>
    <w:multiLevelType w:val="hybridMultilevel"/>
    <w:tmpl w:val="80D60798"/>
    <w:lvl w:ilvl="0" w:tplc="08090001">
      <w:start w:val="1"/>
      <w:numFmt w:val="decimal"/>
      <w:pStyle w:val="StandardNumberBullet"/>
      <w:lvlText w:val="%1."/>
      <w:lvlJc w:val="left"/>
      <w:pPr>
        <w:ind w:left="1780" w:hanging="360"/>
      </w:pPr>
    </w:lvl>
    <w:lvl w:ilvl="1" w:tplc="08090003" w:tentative="1">
      <w:start w:val="1"/>
      <w:numFmt w:val="lowerLetter"/>
      <w:lvlText w:val="%2."/>
      <w:lvlJc w:val="left"/>
      <w:pPr>
        <w:ind w:left="2500" w:hanging="360"/>
      </w:pPr>
    </w:lvl>
    <w:lvl w:ilvl="2" w:tplc="08090005">
      <w:start w:val="1"/>
      <w:numFmt w:val="lowerRoman"/>
      <w:lvlText w:val="%3."/>
      <w:lvlJc w:val="right"/>
      <w:pPr>
        <w:ind w:left="3220" w:hanging="180"/>
      </w:pPr>
    </w:lvl>
    <w:lvl w:ilvl="3" w:tplc="08090001" w:tentative="1">
      <w:start w:val="1"/>
      <w:numFmt w:val="decimal"/>
      <w:lvlText w:val="%4."/>
      <w:lvlJc w:val="left"/>
      <w:pPr>
        <w:ind w:left="3940" w:hanging="360"/>
      </w:pPr>
    </w:lvl>
    <w:lvl w:ilvl="4" w:tplc="08090003" w:tentative="1">
      <w:start w:val="1"/>
      <w:numFmt w:val="lowerLetter"/>
      <w:lvlText w:val="%5."/>
      <w:lvlJc w:val="left"/>
      <w:pPr>
        <w:ind w:left="4660" w:hanging="360"/>
      </w:pPr>
    </w:lvl>
    <w:lvl w:ilvl="5" w:tplc="08090005" w:tentative="1">
      <w:start w:val="1"/>
      <w:numFmt w:val="lowerRoman"/>
      <w:lvlText w:val="%6."/>
      <w:lvlJc w:val="right"/>
      <w:pPr>
        <w:ind w:left="5380" w:hanging="180"/>
      </w:pPr>
    </w:lvl>
    <w:lvl w:ilvl="6" w:tplc="08090001" w:tentative="1">
      <w:start w:val="1"/>
      <w:numFmt w:val="decimal"/>
      <w:lvlText w:val="%7."/>
      <w:lvlJc w:val="left"/>
      <w:pPr>
        <w:ind w:left="6100" w:hanging="360"/>
      </w:pPr>
    </w:lvl>
    <w:lvl w:ilvl="7" w:tplc="08090003" w:tentative="1">
      <w:start w:val="1"/>
      <w:numFmt w:val="lowerLetter"/>
      <w:lvlText w:val="%8."/>
      <w:lvlJc w:val="left"/>
      <w:pPr>
        <w:ind w:left="6820" w:hanging="360"/>
      </w:pPr>
    </w:lvl>
    <w:lvl w:ilvl="8" w:tplc="08090005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>
    <w:nsid w:val="51E33EAE"/>
    <w:multiLevelType w:val="hybridMultilevel"/>
    <w:tmpl w:val="5C468022"/>
    <w:lvl w:ilvl="0" w:tplc="8F0C35E0">
      <w:start w:val="1"/>
      <w:numFmt w:val="decimal"/>
      <w:pStyle w:val="Standardnumberbullet0"/>
      <w:lvlText w:val="%1."/>
      <w:lvlJc w:val="left"/>
      <w:pPr>
        <w:ind w:left="720" w:hanging="360"/>
      </w:pPr>
    </w:lvl>
    <w:lvl w:ilvl="1" w:tplc="DE76E804" w:tentative="1">
      <w:start w:val="1"/>
      <w:numFmt w:val="lowerLetter"/>
      <w:lvlText w:val="%2."/>
      <w:lvlJc w:val="left"/>
      <w:pPr>
        <w:ind w:left="1440" w:hanging="360"/>
      </w:pPr>
    </w:lvl>
    <w:lvl w:ilvl="2" w:tplc="87C6554C" w:tentative="1">
      <w:start w:val="1"/>
      <w:numFmt w:val="lowerRoman"/>
      <w:lvlText w:val="%3."/>
      <w:lvlJc w:val="right"/>
      <w:pPr>
        <w:ind w:left="2160" w:hanging="180"/>
      </w:pPr>
    </w:lvl>
    <w:lvl w:ilvl="3" w:tplc="CCDCA0D0" w:tentative="1">
      <w:start w:val="1"/>
      <w:numFmt w:val="decimal"/>
      <w:lvlText w:val="%4."/>
      <w:lvlJc w:val="left"/>
      <w:pPr>
        <w:ind w:left="2880" w:hanging="360"/>
      </w:pPr>
    </w:lvl>
    <w:lvl w:ilvl="4" w:tplc="CA2208BA" w:tentative="1">
      <w:start w:val="1"/>
      <w:numFmt w:val="lowerLetter"/>
      <w:lvlText w:val="%5."/>
      <w:lvlJc w:val="left"/>
      <w:pPr>
        <w:ind w:left="3600" w:hanging="360"/>
      </w:pPr>
    </w:lvl>
    <w:lvl w:ilvl="5" w:tplc="0AAE0242" w:tentative="1">
      <w:start w:val="1"/>
      <w:numFmt w:val="lowerRoman"/>
      <w:lvlText w:val="%6."/>
      <w:lvlJc w:val="right"/>
      <w:pPr>
        <w:ind w:left="4320" w:hanging="180"/>
      </w:pPr>
    </w:lvl>
    <w:lvl w:ilvl="6" w:tplc="1C2639C0" w:tentative="1">
      <w:start w:val="1"/>
      <w:numFmt w:val="decimal"/>
      <w:lvlText w:val="%7."/>
      <w:lvlJc w:val="left"/>
      <w:pPr>
        <w:ind w:left="5040" w:hanging="360"/>
      </w:pPr>
    </w:lvl>
    <w:lvl w:ilvl="7" w:tplc="F080E1AA" w:tentative="1">
      <w:start w:val="1"/>
      <w:numFmt w:val="lowerLetter"/>
      <w:lvlText w:val="%8."/>
      <w:lvlJc w:val="left"/>
      <w:pPr>
        <w:ind w:left="5760" w:hanging="360"/>
      </w:pPr>
    </w:lvl>
    <w:lvl w:ilvl="8" w:tplc="EA1E4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46962"/>
    <w:multiLevelType w:val="hybridMultilevel"/>
    <w:tmpl w:val="6326FE46"/>
    <w:lvl w:ilvl="0" w:tplc="8292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5659D"/>
    <w:multiLevelType w:val="hybridMultilevel"/>
    <w:tmpl w:val="3FDAF89E"/>
    <w:lvl w:ilvl="0" w:tplc="08090001">
      <w:start w:val="1"/>
      <w:numFmt w:val="bullet"/>
      <w:pStyle w:val="Standard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D2902"/>
    <w:multiLevelType w:val="hybridMultilevel"/>
    <w:tmpl w:val="17B245CC"/>
    <w:lvl w:ilvl="0" w:tplc="A24E305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60AF9"/>
    <w:multiLevelType w:val="hybridMultilevel"/>
    <w:tmpl w:val="A5A64A6E"/>
    <w:lvl w:ilvl="0" w:tplc="52227276">
      <w:start w:val="1"/>
      <w:numFmt w:val="bullet"/>
      <w:pStyle w:val="Standard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pStyle w:val="Standardsub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2"/>
  </w:num>
  <w:num w:numId="13">
    <w:abstractNumId w:val="0"/>
  </w:num>
  <w:num w:numId="14">
    <w:abstractNumId w:val="12"/>
  </w:num>
  <w:num w:numId="15">
    <w:abstractNumId w:val="4"/>
  </w:num>
  <w:num w:numId="16">
    <w:abstractNumId w:val="6"/>
  </w:num>
  <w:num w:numId="17">
    <w:abstractNumId w:val="8"/>
  </w:num>
  <w:num w:numId="18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hdrShapeDefaults>
    <o:shapedefaults v:ext="edit" spidmax="40001"/>
    <o:shapelayout v:ext="edit">
      <o:idmap v:ext="edit" data="39"/>
      <o:rules v:ext="edit">
        <o:r id="V:Rule10" type="arc" idref="#_x0000_s39998"/>
        <o:r id="V:Rule11" type="arc" idref="#_x0000_s39999"/>
        <o:r id="V:Rule12" type="connector" idref="#_x0000_s39988"/>
        <o:r id="V:Rule13" type="connector" idref="#_x0000_s39990"/>
        <o:r id="V:Rule14" type="connector" idref="#_x0000_s39986"/>
        <o:r id="V:Rule15" type="connector" idref="#_x0000_s39989"/>
        <o:r id="V:Rule16" type="connector" idref="#_x0000_s39991"/>
        <o:r id="V:Rule17" type="connector" idref="#_x0000_s39987"/>
        <o:r id="V:Rule18" type="connector" idref="#_x0000_s39995"/>
        <o:r id="V:Rule19" type="connector" idref="#_x0000_s39994"/>
        <o:r id="V:Rule20" type="connector" idref="#_x0000_s39997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009D1"/>
    <w:rsid w:val="00000CF8"/>
    <w:rsid w:val="00002E76"/>
    <w:rsid w:val="000064FB"/>
    <w:rsid w:val="00012E52"/>
    <w:rsid w:val="00026705"/>
    <w:rsid w:val="00044262"/>
    <w:rsid w:val="00046704"/>
    <w:rsid w:val="00051E5D"/>
    <w:rsid w:val="00057B74"/>
    <w:rsid w:val="00062B87"/>
    <w:rsid w:val="0006619E"/>
    <w:rsid w:val="00066A4D"/>
    <w:rsid w:val="00070104"/>
    <w:rsid w:val="000777B8"/>
    <w:rsid w:val="00087498"/>
    <w:rsid w:val="000903A9"/>
    <w:rsid w:val="000917C9"/>
    <w:rsid w:val="00094EA1"/>
    <w:rsid w:val="00095976"/>
    <w:rsid w:val="000A0B7F"/>
    <w:rsid w:val="000A0F23"/>
    <w:rsid w:val="000A2E0A"/>
    <w:rsid w:val="000A2F9E"/>
    <w:rsid w:val="000A3599"/>
    <w:rsid w:val="000B0EEE"/>
    <w:rsid w:val="000B64FA"/>
    <w:rsid w:val="000C3E93"/>
    <w:rsid w:val="000C3EFF"/>
    <w:rsid w:val="000D6F06"/>
    <w:rsid w:val="000E12DC"/>
    <w:rsid w:val="000E66C0"/>
    <w:rsid w:val="000F5BA6"/>
    <w:rsid w:val="000F65F7"/>
    <w:rsid w:val="001030CB"/>
    <w:rsid w:val="00110B4A"/>
    <w:rsid w:val="00117B42"/>
    <w:rsid w:val="00122367"/>
    <w:rsid w:val="00126356"/>
    <w:rsid w:val="00126656"/>
    <w:rsid w:val="00130B0D"/>
    <w:rsid w:val="00135561"/>
    <w:rsid w:val="00140265"/>
    <w:rsid w:val="0015397F"/>
    <w:rsid w:val="0015629A"/>
    <w:rsid w:val="00157E80"/>
    <w:rsid w:val="00177130"/>
    <w:rsid w:val="00177C00"/>
    <w:rsid w:val="00184D90"/>
    <w:rsid w:val="00191A1A"/>
    <w:rsid w:val="00193262"/>
    <w:rsid w:val="00194361"/>
    <w:rsid w:val="00195EE6"/>
    <w:rsid w:val="001B10CE"/>
    <w:rsid w:val="001B7825"/>
    <w:rsid w:val="001C457B"/>
    <w:rsid w:val="001F1D59"/>
    <w:rsid w:val="002061F5"/>
    <w:rsid w:val="00207546"/>
    <w:rsid w:val="00216955"/>
    <w:rsid w:val="0023167A"/>
    <w:rsid w:val="00242247"/>
    <w:rsid w:val="00243F64"/>
    <w:rsid w:val="00244C48"/>
    <w:rsid w:val="00244DDA"/>
    <w:rsid w:val="002733B7"/>
    <w:rsid w:val="002748B5"/>
    <w:rsid w:val="002751EB"/>
    <w:rsid w:val="002955C0"/>
    <w:rsid w:val="002A58FE"/>
    <w:rsid w:val="002A6D26"/>
    <w:rsid w:val="002A71C2"/>
    <w:rsid w:val="002B1DF6"/>
    <w:rsid w:val="002B2078"/>
    <w:rsid w:val="002B76C4"/>
    <w:rsid w:val="002C52A9"/>
    <w:rsid w:val="002D22F1"/>
    <w:rsid w:val="002E01D0"/>
    <w:rsid w:val="002E0D26"/>
    <w:rsid w:val="002E2787"/>
    <w:rsid w:val="002E70A3"/>
    <w:rsid w:val="0030094D"/>
    <w:rsid w:val="00303061"/>
    <w:rsid w:val="003079AE"/>
    <w:rsid w:val="0031700E"/>
    <w:rsid w:val="00323736"/>
    <w:rsid w:val="003366C4"/>
    <w:rsid w:val="003554B5"/>
    <w:rsid w:val="003733FC"/>
    <w:rsid w:val="00377543"/>
    <w:rsid w:val="00390205"/>
    <w:rsid w:val="00397250"/>
    <w:rsid w:val="003A1FB6"/>
    <w:rsid w:val="003A572B"/>
    <w:rsid w:val="003B170A"/>
    <w:rsid w:val="003B3F8E"/>
    <w:rsid w:val="003B458D"/>
    <w:rsid w:val="003B5A30"/>
    <w:rsid w:val="003B79E6"/>
    <w:rsid w:val="003B7D19"/>
    <w:rsid w:val="003B7D2F"/>
    <w:rsid w:val="003D3C02"/>
    <w:rsid w:val="003D5459"/>
    <w:rsid w:val="003E42DC"/>
    <w:rsid w:val="003E64BC"/>
    <w:rsid w:val="003F45D2"/>
    <w:rsid w:val="00403990"/>
    <w:rsid w:val="00412DA5"/>
    <w:rsid w:val="004216F6"/>
    <w:rsid w:val="00424A51"/>
    <w:rsid w:val="00427F95"/>
    <w:rsid w:val="00434099"/>
    <w:rsid w:val="00437577"/>
    <w:rsid w:val="00455215"/>
    <w:rsid w:val="00455484"/>
    <w:rsid w:val="00455811"/>
    <w:rsid w:val="00472941"/>
    <w:rsid w:val="00476D90"/>
    <w:rsid w:val="0048351E"/>
    <w:rsid w:val="00487BF7"/>
    <w:rsid w:val="00490EAB"/>
    <w:rsid w:val="004A26CD"/>
    <w:rsid w:val="004C090B"/>
    <w:rsid w:val="004C5793"/>
    <w:rsid w:val="004C67CE"/>
    <w:rsid w:val="004D4395"/>
    <w:rsid w:val="004E48FC"/>
    <w:rsid w:val="004E7720"/>
    <w:rsid w:val="004F52E6"/>
    <w:rsid w:val="005034C1"/>
    <w:rsid w:val="00503FFA"/>
    <w:rsid w:val="00507C87"/>
    <w:rsid w:val="00521119"/>
    <w:rsid w:val="00533966"/>
    <w:rsid w:val="00533E2D"/>
    <w:rsid w:val="00534DDD"/>
    <w:rsid w:val="005350BA"/>
    <w:rsid w:val="0054104E"/>
    <w:rsid w:val="00543C41"/>
    <w:rsid w:val="00547952"/>
    <w:rsid w:val="00556C2F"/>
    <w:rsid w:val="005651BD"/>
    <w:rsid w:val="00566906"/>
    <w:rsid w:val="00566D6D"/>
    <w:rsid w:val="00570909"/>
    <w:rsid w:val="00572190"/>
    <w:rsid w:val="00574F1E"/>
    <w:rsid w:val="0057606C"/>
    <w:rsid w:val="00577D91"/>
    <w:rsid w:val="005859B2"/>
    <w:rsid w:val="005946C8"/>
    <w:rsid w:val="005969FD"/>
    <w:rsid w:val="00596A07"/>
    <w:rsid w:val="00597535"/>
    <w:rsid w:val="005A0CAE"/>
    <w:rsid w:val="005A4A55"/>
    <w:rsid w:val="005A56E2"/>
    <w:rsid w:val="005B46E2"/>
    <w:rsid w:val="005B79D7"/>
    <w:rsid w:val="005C438E"/>
    <w:rsid w:val="005C655E"/>
    <w:rsid w:val="005E0706"/>
    <w:rsid w:val="005F0108"/>
    <w:rsid w:val="005F0A03"/>
    <w:rsid w:val="00606A7C"/>
    <w:rsid w:val="0061143C"/>
    <w:rsid w:val="00614AC3"/>
    <w:rsid w:val="006334B7"/>
    <w:rsid w:val="00634F97"/>
    <w:rsid w:val="00645390"/>
    <w:rsid w:val="006674FC"/>
    <w:rsid w:val="00667EE9"/>
    <w:rsid w:val="00671171"/>
    <w:rsid w:val="00673979"/>
    <w:rsid w:val="0068033D"/>
    <w:rsid w:val="006900C2"/>
    <w:rsid w:val="00690870"/>
    <w:rsid w:val="006B63E8"/>
    <w:rsid w:val="006B78B5"/>
    <w:rsid w:val="006D0497"/>
    <w:rsid w:val="006D086C"/>
    <w:rsid w:val="006D3EC0"/>
    <w:rsid w:val="006E6835"/>
    <w:rsid w:val="006F179A"/>
    <w:rsid w:val="006F36CC"/>
    <w:rsid w:val="006F406D"/>
    <w:rsid w:val="006F4D38"/>
    <w:rsid w:val="006F5E55"/>
    <w:rsid w:val="00703B43"/>
    <w:rsid w:val="00705C44"/>
    <w:rsid w:val="00707B4E"/>
    <w:rsid w:val="00712EF1"/>
    <w:rsid w:val="00713DF9"/>
    <w:rsid w:val="00724B1F"/>
    <w:rsid w:val="00731C90"/>
    <w:rsid w:val="007328C0"/>
    <w:rsid w:val="00751636"/>
    <w:rsid w:val="00775D9B"/>
    <w:rsid w:val="007760F5"/>
    <w:rsid w:val="00777B8F"/>
    <w:rsid w:val="007813C0"/>
    <w:rsid w:val="00785973"/>
    <w:rsid w:val="00793859"/>
    <w:rsid w:val="00794190"/>
    <w:rsid w:val="00795A43"/>
    <w:rsid w:val="00796777"/>
    <w:rsid w:val="007A7048"/>
    <w:rsid w:val="007C4F39"/>
    <w:rsid w:val="007C5599"/>
    <w:rsid w:val="007E16C2"/>
    <w:rsid w:val="007E2082"/>
    <w:rsid w:val="007E2B19"/>
    <w:rsid w:val="007E54DE"/>
    <w:rsid w:val="007E54F0"/>
    <w:rsid w:val="007F0F83"/>
    <w:rsid w:val="007F33E6"/>
    <w:rsid w:val="008009D1"/>
    <w:rsid w:val="00801371"/>
    <w:rsid w:val="00804662"/>
    <w:rsid w:val="00804B49"/>
    <w:rsid w:val="00806250"/>
    <w:rsid w:val="00810D8B"/>
    <w:rsid w:val="008149FD"/>
    <w:rsid w:val="008162EC"/>
    <w:rsid w:val="00820B52"/>
    <w:rsid w:val="00821581"/>
    <w:rsid w:val="00823B7B"/>
    <w:rsid w:val="008248FE"/>
    <w:rsid w:val="00840EDB"/>
    <w:rsid w:val="00843399"/>
    <w:rsid w:val="008619EE"/>
    <w:rsid w:val="00867AC9"/>
    <w:rsid w:val="00871EDE"/>
    <w:rsid w:val="00874296"/>
    <w:rsid w:val="008801B7"/>
    <w:rsid w:val="00890DDD"/>
    <w:rsid w:val="00896551"/>
    <w:rsid w:val="008A14C2"/>
    <w:rsid w:val="008A1D8C"/>
    <w:rsid w:val="008B2AAC"/>
    <w:rsid w:val="008C187E"/>
    <w:rsid w:val="008C2A97"/>
    <w:rsid w:val="008C2D9B"/>
    <w:rsid w:val="008D5FFF"/>
    <w:rsid w:val="008D6282"/>
    <w:rsid w:val="008E2B7C"/>
    <w:rsid w:val="008E61A7"/>
    <w:rsid w:val="008F0BC9"/>
    <w:rsid w:val="008F0F6D"/>
    <w:rsid w:val="00915905"/>
    <w:rsid w:val="00917CC6"/>
    <w:rsid w:val="0092020A"/>
    <w:rsid w:val="00922D9C"/>
    <w:rsid w:val="009249DD"/>
    <w:rsid w:val="00925B84"/>
    <w:rsid w:val="00926DAD"/>
    <w:rsid w:val="00941A68"/>
    <w:rsid w:val="00945D2C"/>
    <w:rsid w:val="00957031"/>
    <w:rsid w:val="00957F31"/>
    <w:rsid w:val="0096234E"/>
    <w:rsid w:val="0096329A"/>
    <w:rsid w:val="00970F29"/>
    <w:rsid w:val="00975090"/>
    <w:rsid w:val="009762BC"/>
    <w:rsid w:val="00984193"/>
    <w:rsid w:val="00985C14"/>
    <w:rsid w:val="00996D5A"/>
    <w:rsid w:val="009B08CE"/>
    <w:rsid w:val="009B14CF"/>
    <w:rsid w:val="009B16BC"/>
    <w:rsid w:val="009B2222"/>
    <w:rsid w:val="009C028E"/>
    <w:rsid w:val="009C6B34"/>
    <w:rsid w:val="009D38FC"/>
    <w:rsid w:val="009E11D4"/>
    <w:rsid w:val="009E3FCC"/>
    <w:rsid w:val="009E552D"/>
    <w:rsid w:val="009F0F4B"/>
    <w:rsid w:val="009F18CC"/>
    <w:rsid w:val="00A0152E"/>
    <w:rsid w:val="00A05DE2"/>
    <w:rsid w:val="00A11E94"/>
    <w:rsid w:val="00A20536"/>
    <w:rsid w:val="00A21206"/>
    <w:rsid w:val="00A228F4"/>
    <w:rsid w:val="00A346F8"/>
    <w:rsid w:val="00A3557C"/>
    <w:rsid w:val="00A37F90"/>
    <w:rsid w:val="00A522B5"/>
    <w:rsid w:val="00A547AD"/>
    <w:rsid w:val="00A55D36"/>
    <w:rsid w:val="00A61424"/>
    <w:rsid w:val="00A744F9"/>
    <w:rsid w:val="00A92058"/>
    <w:rsid w:val="00A9713C"/>
    <w:rsid w:val="00AA2365"/>
    <w:rsid w:val="00AA2C16"/>
    <w:rsid w:val="00AA6C9A"/>
    <w:rsid w:val="00AA7616"/>
    <w:rsid w:val="00AB0287"/>
    <w:rsid w:val="00AB5D9C"/>
    <w:rsid w:val="00AB6E30"/>
    <w:rsid w:val="00AC1EB8"/>
    <w:rsid w:val="00AC37BF"/>
    <w:rsid w:val="00AC418B"/>
    <w:rsid w:val="00AD04B0"/>
    <w:rsid w:val="00AD0ECC"/>
    <w:rsid w:val="00AD156E"/>
    <w:rsid w:val="00AD2910"/>
    <w:rsid w:val="00AE0694"/>
    <w:rsid w:val="00AE16DD"/>
    <w:rsid w:val="00AE1D10"/>
    <w:rsid w:val="00B14501"/>
    <w:rsid w:val="00B1463A"/>
    <w:rsid w:val="00B1614C"/>
    <w:rsid w:val="00B339FF"/>
    <w:rsid w:val="00B342E5"/>
    <w:rsid w:val="00B37DB1"/>
    <w:rsid w:val="00B37F36"/>
    <w:rsid w:val="00B410FA"/>
    <w:rsid w:val="00B43D9F"/>
    <w:rsid w:val="00B45860"/>
    <w:rsid w:val="00B4755F"/>
    <w:rsid w:val="00B52F03"/>
    <w:rsid w:val="00B545D7"/>
    <w:rsid w:val="00B55DC7"/>
    <w:rsid w:val="00B60B62"/>
    <w:rsid w:val="00B61940"/>
    <w:rsid w:val="00B62158"/>
    <w:rsid w:val="00B622BC"/>
    <w:rsid w:val="00B6446A"/>
    <w:rsid w:val="00B74AD7"/>
    <w:rsid w:val="00B74FBA"/>
    <w:rsid w:val="00B83A86"/>
    <w:rsid w:val="00B8642E"/>
    <w:rsid w:val="00B87EF2"/>
    <w:rsid w:val="00B96BB4"/>
    <w:rsid w:val="00BA1D33"/>
    <w:rsid w:val="00BB5841"/>
    <w:rsid w:val="00BB58D6"/>
    <w:rsid w:val="00BB7A04"/>
    <w:rsid w:val="00BC22EE"/>
    <w:rsid w:val="00BE14DD"/>
    <w:rsid w:val="00BE1F4A"/>
    <w:rsid w:val="00BE4CD6"/>
    <w:rsid w:val="00BE6862"/>
    <w:rsid w:val="00BF1904"/>
    <w:rsid w:val="00BF2A1D"/>
    <w:rsid w:val="00BF35CA"/>
    <w:rsid w:val="00BF4E75"/>
    <w:rsid w:val="00C01110"/>
    <w:rsid w:val="00C06453"/>
    <w:rsid w:val="00C06A00"/>
    <w:rsid w:val="00C17A00"/>
    <w:rsid w:val="00C20CDC"/>
    <w:rsid w:val="00C22457"/>
    <w:rsid w:val="00C31C14"/>
    <w:rsid w:val="00C31C61"/>
    <w:rsid w:val="00C3653B"/>
    <w:rsid w:val="00C365C4"/>
    <w:rsid w:val="00C3754F"/>
    <w:rsid w:val="00C45220"/>
    <w:rsid w:val="00C45C7F"/>
    <w:rsid w:val="00C51B37"/>
    <w:rsid w:val="00C60307"/>
    <w:rsid w:val="00C63D12"/>
    <w:rsid w:val="00C7045A"/>
    <w:rsid w:val="00C74183"/>
    <w:rsid w:val="00C76899"/>
    <w:rsid w:val="00C827FA"/>
    <w:rsid w:val="00C9058A"/>
    <w:rsid w:val="00C90E82"/>
    <w:rsid w:val="00C97972"/>
    <w:rsid w:val="00CA1D7A"/>
    <w:rsid w:val="00CA5F3C"/>
    <w:rsid w:val="00CA64F9"/>
    <w:rsid w:val="00CB432C"/>
    <w:rsid w:val="00CC08A2"/>
    <w:rsid w:val="00CC0EDA"/>
    <w:rsid w:val="00CC660C"/>
    <w:rsid w:val="00CC7F3C"/>
    <w:rsid w:val="00CD0221"/>
    <w:rsid w:val="00CD0E4F"/>
    <w:rsid w:val="00CF06C0"/>
    <w:rsid w:val="00D020EC"/>
    <w:rsid w:val="00D05B25"/>
    <w:rsid w:val="00D05CB3"/>
    <w:rsid w:val="00D0714B"/>
    <w:rsid w:val="00D130A5"/>
    <w:rsid w:val="00D147F6"/>
    <w:rsid w:val="00D154BE"/>
    <w:rsid w:val="00D17964"/>
    <w:rsid w:val="00D17D4F"/>
    <w:rsid w:val="00D3441C"/>
    <w:rsid w:val="00D37695"/>
    <w:rsid w:val="00D47B31"/>
    <w:rsid w:val="00D6631D"/>
    <w:rsid w:val="00D674B6"/>
    <w:rsid w:val="00D67658"/>
    <w:rsid w:val="00D74E6D"/>
    <w:rsid w:val="00D75874"/>
    <w:rsid w:val="00D82C4C"/>
    <w:rsid w:val="00D851D8"/>
    <w:rsid w:val="00D94C9B"/>
    <w:rsid w:val="00DA5BAF"/>
    <w:rsid w:val="00DA6E17"/>
    <w:rsid w:val="00DA73F8"/>
    <w:rsid w:val="00DB3E3C"/>
    <w:rsid w:val="00DC0FD3"/>
    <w:rsid w:val="00DC35FF"/>
    <w:rsid w:val="00DD2315"/>
    <w:rsid w:val="00DD45F5"/>
    <w:rsid w:val="00DD48B0"/>
    <w:rsid w:val="00DD4C42"/>
    <w:rsid w:val="00DE27F8"/>
    <w:rsid w:val="00DF2705"/>
    <w:rsid w:val="00DF6277"/>
    <w:rsid w:val="00E078DC"/>
    <w:rsid w:val="00E11812"/>
    <w:rsid w:val="00E1217E"/>
    <w:rsid w:val="00E20B87"/>
    <w:rsid w:val="00E220AE"/>
    <w:rsid w:val="00E34539"/>
    <w:rsid w:val="00E3573D"/>
    <w:rsid w:val="00E41490"/>
    <w:rsid w:val="00E555C5"/>
    <w:rsid w:val="00E65EBA"/>
    <w:rsid w:val="00E675D1"/>
    <w:rsid w:val="00E762B0"/>
    <w:rsid w:val="00E82806"/>
    <w:rsid w:val="00E863CE"/>
    <w:rsid w:val="00E87E68"/>
    <w:rsid w:val="00E87F6B"/>
    <w:rsid w:val="00EA4527"/>
    <w:rsid w:val="00EB2704"/>
    <w:rsid w:val="00EE48D0"/>
    <w:rsid w:val="00EE6532"/>
    <w:rsid w:val="00EF0B4E"/>
    <w:rsid w:val="00EF240E"/>
    <w:rsid w:val="00EF5291"/>
    <w:rsid w:val="00F07008"/>
    <w:rsid w:val="00F24654"/>
    <w:rsid w:val="00F345BC"/>
    <w:rsid w:val="00F349D7"/>
    <w:rsid w:val="00F41858"/>
    <w:rsid w:val="00F4258D"/>
    <w:rsid w:val="00F479B1"/>
    <w:rsid w:val="00F47BE3"/>
    <w:rsid w:val="00F626FD"/>
    <w:rsid w:val="00F66ADC"/>
    <w:rsid w:val="00F70484"/>
    <w:rsid w:val="00F7445D"/>
    <w:rsid w:val="00F76B30"/>
    <w:rsid w:val="00F80CB3"/>
    <w:rsid w:val="00F8102C"/>
    <w:rsid w:val="00F822C3"/>
    <w:rsid w:val="00F8343C"/>
    <w:rsid w:val="00F864A0"/>
    <w:rsid w:val="00F8744D"/>
    <w:rsid w:val="00F930C7"/>
    <w:rsid w:val="00FB3436"/>
    <w:rsid w:val="00FB431A"/>
    <w:rsid w:val="00FD2081"/>
    <w:rsid w:val="00FD7845"/>
    <w:rsid w:val="00FD7FBD"/>
    <w:rsid w:val="00FE4EE0"/>
    <w:rsid w:val="00FE4FDF"/>
    <w:rsid w:val="00FE5096"/>
    <w:rsid w:val="00FF2E3A"/>
    <w:rsid w:val="00FF2E8F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D1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StandardParagraph"/>
    <w:link w:val="Heading1Char"/>
    <w:uiPriority w:val="9"/>
    <w:qFormat/>
    <w:rsid w:val="00985C14"/>
    <w:pPr>
      <w:keepNext/>
      <w:keepLines/>
      <w:numPr>
        <w:numId w:val="5"/>
      </w:numPr>
      <w:spacing w:before="240" w:after="24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StandardParagraph"/>
    <w:link w:val="Heading2Char"/>
    <w:uiPriority w:val="9"/>
    <w:unhideWhenUsed/>
    <w:qFormat/>
    <w:rsid w:val="00FF74D6"/>
    <w:pPr>
      <w:keepNext/>
      <w:keepLines/>
      <w:numPr>
        <w:ilvl w:val="1"/>
        <w:numId w:val="5"/>
      </w:numPr>
      <w:tabs>
        <w:tab w:val="clear" w:pos="720"/>
        <w:tab w:val="clear" w:pos="1440"/>
        <w:tab w:val="left" w:pos="0"/>
        <w:tab w:val="left" w:pos="567"/>
      </w:tabs>
      <w:spacing w:before="24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57C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="Arial"/>
      <w:b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7C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7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7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7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7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7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Headings3">
    <w:name w:val="Headings 3"/>
    <w:basedOn w:val="Heading1"/>
    <w:autoRedefine/>
    <w:rsid w:val="008009D1"/>
    <w:pPr>
      <w:keepNext w:val="0"/>
      <w:keepLines w:val="0"/>
      <w:tabs>
        <w:tab w:val="clear" w:pos="9000"/>
        <w:tab w:val="right" w:pos="8460"/>
        <w:tab w:val="right" w:pos="8820"/>
      </w:tabs>
      <w:spacing w:before="0"/>
      <w:ind w:right="206"/>
    </w:pPr>
    <w:rPr>
      <w:rFonts w:eastAsia="Times New Roman" w:cs="Times New Roman"/>
      <w:bCs w:val="0"/>
      <w:color w:val="auto"/>
      <w:kern w:val="24"/>
      <w:szCs w:val="20"/>
    </w:rPr>
  </w:style>
  <w:style w:type="paragraph" w:customStyle="1" w:styleId="Headings4">
    <w:name w:val="Headings 4"/>
    <w:basedOn w:val="Heading1"/>
    <w:rsid w:val="008009D1"/>
    <w:pPr>
      <w:keepNext w:val="0"/>
      <w:keepLines w:val="0"/>
      <w:spacing w:before="0"/>
    </w:pPr>
    <w:rPr>
      <w:rFonts w:eastAsia="Times New Roman" w:cs="Times New Roman"/>
      <w:bCs w:val="0"/>
      <w:color w:val="auto"/>
      <w:kern w:val="24"/>
      <w:sz w:val="24"/>
      <w:szCs w:val="20"/>
    </w:rPr>
  </w:style>
  <w:style w:type="paragraph" w:styleId="BodyText">
    <w:name w:val="Body Text"/>
    <w:basedOn w:val="Normal"/>
    <w:link w:val="BodyTextChar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240" w:lineRule="auto"/>
      <w:jc w:val="left"/>
    </w:pPr>
    <w:rPr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009D1"/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8009D1"/>
    <w:rPr>
      <w:color w:val="0000FF"/>
      <w:u w:val="single"/>
    </w:rPr>
  </w:style>
  <w:style w:type="paragraph" w:customStyle="1" w:styleId="TableHeading">
    <w:name w:val="Table Heading"/>
    <w:basedOn w:val="Normal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0" w:after="40" w:line="240" w:lineRule="auto"/>
      <w:jc w:val="center"/>
    </w:pPr>
    <w:rPr>
      <w:b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C14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FrontPageTitle">
    <w:name w:val="Front Page Title"/>
    <w:basedOn w:val="Normal"/>
    <w:qFormat/>
    <w:rsid w:val="003E64BC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200" w:line="276" w:lineRule="auto"/>
      <w:jc w:val="left"/>
      <w:textAlignment w:val="auto"/>
    </w:pPr>
    <w:rPr>
      <w:rFonts w:eastAsiaTheme="majorEastAsia" w:cstheme="majorBidi"/>
      <w:b/>
      <w:color w:val="548DD4" w:themeColor="text2" w:themeTint="99"/>
      <w:spacing w:val="5"/>
      <w:kern w:val="28"/>
      <w:sz w:val="52"/>
      <w:szCs w:val="52"/>
    </w:rPr>
  </w:style>
  <w:style w:type="paragraph" w:customStyle="1" w:styleId="StandardParagraph">
    <w:name w:val="Standard Paragraph"/>
    <w:basedOn w:val="Normal"/>
    <w:link w:val="StandardParagraphChar"/>
    <w:qFormat/>
    <w:rsid w:val="00DA73F8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customStyle="1" w:styleId="Standardnumberbullet0">
    <w:name w:val="Standard number bullet"/>
    <w:basedOn w:val="StandardParagraph"/>
    <w:qFormat/>
    <w:rsid w:val="001C457B"/>
    <w:pPr>
      <w:numPr>
        <w:numId w:val="4"/>
      </w:numPr>
    </w:pPr>
  </w:style>
  <w:style w:type="paragraph" w:customStyle="1" w:styleId="StandardBullet0">
    <w:name w:val="Standard Bullet"/>
    <w:basedOn w:val="Normal"/>
    <w:qFormat/>
    <w:rsid w:val="00390205"/>
    <w:pPr>
      <w:numPr>
        <w:numId w:val="1"/>
      </w:num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FF74D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customStyle="1" w:styleId="Standardsubbullet">
    <w:name w:val="Standard sub bullet"/>
    <w:basedOn w:val="StandardBullet0"/>
    <w:qFormat/>
    <w:rsid w:val="002A58FE"/>
    <w:pPr>
      <w:numPr>
        <w:ilvl w:val="1"/>
      </w:numPr>
    </w:pPr>
  </w:style>
  <w:style w:type="character" w:styleId="Emphasis">
    <w:name w:val="Emphasis"/>
    <w:uiPriority w:val="20"/>
    <w:qFormat/>
    <w:rsid w:val="008A1D8C"/>
    <w:rPr>
      <w:i/>
      <w:iCs/>
    </w:rPr>
  </w:style>
  <w:style w:type="paragraph" w:customStyle="1" w:styleId="TableText">
    <w:name w:val="Table Text"/>
    <w:basedOn w:val="Normal"/>
    <w:uiPriority w:val="99"/>
    <w:rsid w:val="00985C14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60" w:after="60" w:line="280" w:lineRule="exact"/>
      <w:jc w:val="left"/>
      <w:textAlignment w:val="auto"/>
    </w:pPr>
    <w:rPr>
      <w:rFonts w:cs="Arial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922D9C"/>
    <w:pPr>
      <w:widowControl/>
      <w:numPr>
        <w:numId w:val="2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240" w:line="280" w:lineRule="exact"/>
      <w:jc w:val="left"/>
      <w:textAlignment w:val="auto"/>
    </w:pPr>
    <w:rPr>
      <w:rFonts w:cs="Arial"/>
      <w:sz w:val="22"/>
      <w:lang w:val="en-NZ"/>
    </w:rPr>
  </w:style>
  <w:style w:type="table" w:styleId="TableGrid">
    <w:name w:val="Table Grid"/>
    <w:basedOn w:val="TableNormal"/>
    <w:rsid w:val="00F8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paratable">
    <w:name w:val="Standard para table"/>
    <w:basedOn w:val="StandardParagraph"/>
    <w:qFormat/>
    <w:rsid w:val="00E87E68"/>
    <w:pPr>
      <w:spacing w:before="120" w:after="120" w:line="276" w:lineRule="auto"/>
    </w:pPr>
    <w:rPr>
      <w:szCs w:val="24"/>
    </w:rPr>
  </w:style>
  <w:style w:type="paragraph" w:styleId="NoSpacing">
    <w:name w:val="No Spacing"/>
    <w:uiPriority w:val="1"/>
    <w:qFormat/>
    <w:rsid w:val="00FF2E8F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tandardParagraphTable">
    <w:name w:val="Standard Paragraph Table"/>
    <w:basedOn w:val="StandardParagraph"/>
    <w:rsid w:val="00BC22EE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before="60" w:after="60" w:line="240" w:lineRule="auto"/>
      <w:ind w:right="0"/>
      <w:contextualSpacing/>
      <w:textAlignment w:val="auto"/>
    </w:pPr>
    <w:rPr>
      <w:rFonts w:cs="Arial"/>
      <w:sz w:val="18"/>
      <w:szCs w:val="22"/>
    </w:rPr>
  </w:style>
  <w:style w:type="paragraph" w:customStyle="1" w:styleId="StandardNumberBullet">
    <w:name w:val="Standard Number Bullet"/>
    <w:basedOn w:val="StandardBullet0"/>
    <w:qFormat/>
    <w:rsid w:val="00BC22EE"/>
    <w:pPr>
      <w:widowControl/>
      <w:numPr>
        <w:numId w:val="3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after="200" w:line="240" w:lineRule="auto"/>
      <w:ind w:right="0"/>
      <w:textAlignment w:val="auto"/>
    </w:pPr>
    <w:rPr>
      <w:rFonts w:eastAsia="Calibri" w:cs="Arial"/>
      <w:sz w:val="22"/>
      <w:szCs w:val="22"/>
    </w:rPr>
  </w:style>
  <w:style w:type="character" w:customStyle="1" w:styleId="StandardParagraphChar">
    <w:name w:val="Standard Paragraph Char"/>
    <w:basedOn w:val="DefaultParagraphFont"/>
    <w:link w:val="StandardParagraph"/>
    <w:locked/>
    <w:rsid w:val="00DA73F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3557C"/>
    <w:rPr>
      <w:rFonts w:ascii="Arial" w:eastAsiaTheme="majorEastAsia" w:hAnsi="Arial" w:cs="Arial"/>
      <w:b/>
      <w:bCs/>
      <w:i/>
      <w:color w:val="000000" w:themeColor="tex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7C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80"/>
    <w:rPr>
      <w:rFonts w:ascii="Tahoma" w:eastAsia="Times New Roman" w:hAnsi="Tahoma" w:cs="Tahoma"/>
      <w:sz w:val="16"/>
      <w:szCs w:val="16"/>
    </w:rPr>
  </w:style>
  <w:style w:type="paragraph" w:customStyle="1" w:styleId="Insertparagraph">
    <w:name w:val="Insert paragraph"/>
    <w:basedOn w:val="Normal"/>
    <w:next w:val="StandardParagraph"/>
    <w:qFormat/>
    <w:rsid w:val="00FD7FBD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360" w:after="360"/>
      <w:jc w:val="center"/>
      <w:textAlignment w:val="auto"/>
    </w:pPr>
    <w:rPr>
      <w:b/>
      <w:sz w:val="28"/>
    </w:rPr>
  </w:style>
  <w:style w:type="paragraph" w:customStyle="1" w:styleId="Standardparagraphbold">
    <w:name w:val="Standard paragraph bold"/>
    <w:basedOn w:val="StandardParagraph"/>
    <w:next w:val="StandardParagraph"/>
    <w:qFormat/>
    <w:rsid w:val="00C827FA"/>
    <w:rPr>
      <w:b/>
    </w:rPr>
  </w:style>
  <w:style w:type="paragraph" w:customStyle="1" w:styleId="Standardnumberbullettable">
    <w:name w:val="Standard number bullet table"/>
    <w:basedOn w:val="StandardNumberBullet"/>
    <w:qFormat/>
    <w:rsid w:val="00B6446A"/>
    <w:pPr>
      <w:ind w:left="318" w:hanging="318"/>
    </w:pPr>
  </w:style>
  <w:style w:type="paragraph" w:customStyle="1" w:styleId="Standardtablebullet">
    <w:name w:val="Standard table bullet"/>
    <w:basedOn w:val="Standardparatable"/>
    <w:qFormat/>
    <w:rsid w:val="00975090"/>
    <w:pPr>
      <w:numPr>
        <w:numId w:val="7"/>
      </w:numPr>
      <w:spacing w:before="60" w:after="60" w:line="240" w:lineRule="auto"/>
      <w:ind w:left="1108" w:hanging="357"/>
    </w:pPr>
  </w:style>
  <w:style w:type="paragraph" w:customStyle="1" w:styleId="Bullettable">
    <w:name w:val="Bullet table"/>
    <w:basedOn w:val="ListParagraph"/>
    <w:qFormat/>
    <w:rsid w:val="00975090"/>
    <w:pPr>
      <w:numPr>
        <w:numId w:val="8"/>
      </w:numPr>
      <w:spacing w:before="60" w:after="60" w:line="240" w:lineRule="auto"/>
      <w:ind w:left="362" w:hanging="181"/>
    </w:pPr>
    <w:rPr>
      <w:sz w:val="20"/>
    </w:rPr>
  </w:style>
  <w:style w:type="character" w:styleId="CommentReference">
    <w:name w:val="annotation reference"/>
    <w:basedOn w:val="DefaultParagraphFont"/>
    <w:rsid w:val="00C45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C7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5C7F"/>
    <w:rPr>
      <w:rFonts w:ascii="Arial" w:eastAsia="Times New Roman" w:hAnsi="Arial" w:cs="Times New Roman"/>
      <w:sz w:val="20"/>
      <w:szCs w:val="20"/>
    </w:rPr>
  </w:style>
  <w:style w:type="paragraph" w:customStyle="1" w:styleId="TableBullet">
    <w:name w:val="Table Bullet"/>
    <w:basedOn w:val="ListParagraph"/>
    <w:qFormat/>
    <w:rsid w:val="00C97972"/>
    <w:pPr>
      <w:numPr>
        <w:numId w:val="10"/>
      </w:numPr>
      <w:spacing w:before="60" w:after="60"/>
    </w:pPr>
    <w:rPr>
      <w:sz w:val="20"/>
    </w:rPr>
  </w:style>
  <w:style w:type="paragraph" w:customStyle="1" w:styleId="Standardparagraph0">
    <w:name w:val="Standard paragraph"/>
    <w:basedOn w:val="Normal"/>
    <w:qFormat/>
    <w:rsid w:val="00C97972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customStyle="1" w:styleId="Standardbullet">
    <w:name w:val="Standard bullet"/>
    <w:basedOn w:val="Normal"/>
    <w:qFormat/>
    <w:rsid w:val="00C97972"/>
    <w:pPr>
      <w:widowControl/>
      <w:numPr>
        <w:numId w:val="11"/>
      </w:numPr>
      <w:shd w:val="clear" w:color="auto" w:fill="FFFFFF"/>
      <w:tabs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120" w:after="120"/>
      <w:jc w:val="left"/>
      <w:textAlignment w:val="auto"/>
    </w:pPr>
    <w:rPr>
      <w:rFonts w:cs="Arial"/>
      <w:color w:val="000000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A03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BB178-3F52-4611-B988-3724B38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Paulmo01</dc:creator>
  <cp:lastModifiedBy>Paulmo01</cp:lastModifiedBy>
  <cp:revision>5</cp:revision>
  <cp:lastPrinted>2017-02-06T11:46:00Z</cp:lastPrinted>
  <dcterms:created xsi:type="dcterms:W3CDTF">2017-01-31T09:32:00Z</dcterms:created>
  <dcterms:modified xsi:type="dcterms:W3CDTF">2017-02-08T15:19:00Z</dcterms:modified>
</cp:coreProperties>
</file>